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f39e001f403fd2f0d859fb38e95088d7bc078"/>
    <w:p>
      <w:pPr>
        <w:pStyle w:val="Heading3"/>
      </w:pPr>
      <w:r>
        <w:t xml:space="preserve">Жителей города Москвы приглашают принять участие в конкурсе проектов «Бюджет для граждан»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hyperlink r:id="rId20"/>
    </w:p>
    <w:p>
      <w:pPr>
        <w:pStyle w:val="BodyText"/>
      </w:pPr>
      <w:r>
        <w:t xml:space="preserve">Конкурс «Бюджет для граждан» дает хорошую возможность проявить знания и творческие способности, поделиться опытом проведения образовательных мероприятий по бюджетной тематике.</w:t>
      </w:r>
    </w:p>
    <w:p>
      <w:pPr>
        <w:pStyle w:val="BodyText"/>
      </w:pPr>
      <w:r>
        <w:t xml:space="preserve">У каждого из вас есть возможность в доступной форме рассказать об общественных финансах, лучших способах представления информации о городском бюджете, а также поделиться опытом грамотного ведения личного и семейного бюджетов.</w:t>
      </w:r>
    </w:p>
    <w:p>
      <w:pPr>
        <w:pStyle w:val="BodyText"/>
      </w:pPr>
      <w:r>
        <w:rPr>
          <w:bCs/>
          <w:b/>
        </w:rPr>
        <w:t xml:space="preserve">Условия конкурса</w:t>
      </w:r>
    </w:p>
    <w:p>
      <w:pPr>
        <w:pStyle w:val="BodyText"/>
      </w:pPr>
      <w:r>
        <w:t xml:space="preserve">Департамент финансов города Москвы совместно с Департаментом образования и науки города Москвы объявляют о проведении ежегодного конкурса проектов «Бюджет для граждан».</w:t>
      </w:r>
      <w:r>
        <w:br/>
      </w:r>
      <w:r>
        <w:t xml:space="preserve">Его участниками могут быть как физические, так и юридические лица. В этом году представлены следующие номинации, в том числе:</w:t>
      </w:r>
    </w:p>
    <w:p>
      <w:pPr>
        <w:pStyle w:val="BodyText"/>
      </w:pPr>
      <w:r>
        <w:rPr>
          <w:bCs/>
          <w:b/>
        </w:rPr>
        <w:t xml:space="preserve">Для физических лиц:</w:t>
      </w:r>
    </w:p>
    <w:p>
      <w:pPr>
        <w:pStyle w:val="BodyText"/>
      </w:pPr>
      <w:r>
        <w:t xml:space="preserve">- «Бюджет: просто о сложном»;</w:t>
      </w:r>
    </w:p>
    <w:p>
      <w:pPr>
        <w:pStyle w:val="BodyText"/>
      </w:pPr>
      <w:r>
        <w:t xml:space="preserve">- «Бюджет для граждан в картинках»;</w:t>
      </w:r>
    </w:p>
    <w:p>
      <w:pPr>
        <w:pStyle w:val="BodyText"/>
      </w:pPr>
      <w:r>
        <w:t xml:space="preserve">- «Лучший видеоролик о бюджете»;</w:t>
      </w:r>
    </w:p>
    <w:p>
      <w:pPr>
        <w:pStyle w:val="BodyText"/>
      </w:pPr>
      <w:r>
        <w:t xml:space="preserve">- «Бюджет в стихах»;</w:t>
      </w:r>
    </w:p>
    <w:p>
      <w:pPr>
        <w:pStyle w:val="BodyText"/>
      </w:pPr>
      <w:r>
        <w:t xml:space="preserve">- «Лучшая информационная панель (дашборд) по бюджету для граждан»;</w:t>
      </w:r>
    </w:p>
    <w:p>
      <w:pPr>
        <w:pStyle w:val="BodyText"/>
      </w:pPr>
      <w:r>
        <w:t xml:space="preserve">- «Бюджет в социальных сетях»;</w:t>
      </w:r>
    </w:p>
    <w:p>
      <w:pPr>
        <w:pStyle w:val="BodyText"/>
      </w:pPr>
      <w:r>
        <w:t xml:space="preserve">- «Современные формы и инструменты представления информации на портале «Открытый бюджет города Москвы»;</w:t>
      </w:r>
    </w:p>
    <w:p>
      <w:pPr>
        <w:pStyle w:val="BodyText"/>
      </w:pPr>
      <w:r>
        <w:t xml:space="preserve">- «Викторины об истории российских финансов».</w:t>
      </w:r>
    </w:p>
    <w:p>
      <w:pPr>
        <w:pStyle w:val="BodyText"/>
      </w:pPr>
      <w:r>
        <w:rPr>
          <w:bCs/>
          <w:b/>
        </w:rPr>
        <w:t xml:space="preserve">Для юридических лиц:</w:t>
      </w:r>
    </w:p>
    <w:p>
      <w:pPr>
        <w:pStyle w:val="BodyText"/>
      </w:pPr>
      <w:r>
        <w:t xml:space="preserve">- «Лучший проект регионального (местного) бюджета для граждан»;</w:t>
      </w:r>
    </w:p>
    <w:p>
      <w:pPr>
        <w:pStyle w:val="BodyText"/>
      </w:pPr>
      <w:r>
        <w:t xml:space="preserve">- «Лучший проект отраслевого бюджета для граждан»;</w:t>
      </w:r>
    </w:p>
    <w:p>
      <w:pPr>
        <w:pStyle w:val="BodyText"/>
      </w:pPr>
      <w:r>
        <w:t xml:space="preserve">- «Лучшее event-мероприятие по проекту «Бюджет для граждан»;</w:t>
      </w:r>
    </w:p>
    <w:p>
      <w:pPr>
        <w:pStyle w:val="BodyText"/>
      </w:pPr>
      <w:r>
        <w:t xml:space="preserve">- «Лучшая информационная панель (дашборд) по бюджету для граждан»;</w:t>
      </w:r>
    </w:p>
    <w:p>
      <w:pPr>
        <w:pStyle w:val="BodyText"/>
      </w:pPr>
      <w:r>
        <w:t xml:space="preserve">- «Лучшее образовательное мероприятие по проекту «Бюджет для граждан».</w:t>
      </w:r>
    </w:p>
    <w:p>
      <w:pPr>
        <w:pStyle w:val="BodyText"/>
      </w:pPr>
      <w:r>
        <w:t xml:space="preserve">Для участия в конкурсе необходимо представить заявки с проектами, соответствующие тематике номинаций. Каждый проект может участвовать не более чем в 2 номинациях. Конкурсанты могут заявить одновременно несколько проектов.</w:t>
      </w:r>
    </w:p>
    <w:p>
      <w:pPr>
        <w:pStyle w:val="BodyText"/>
      </w:pPr>
      <w:r>
        <w:t xml:space="preserve">Заявки на конкурс принимаются с 14 марта по 16 мая 2022 года. Итоги конкурса и имена победителей будут объявлены до 17 июня 2022 года на портале Правительства Москвы «Открытый бюджет города Москвы»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https://budget.mos.ru/open/competition</w:t>
        </w:r>
      </w:hyperlink>
      <w:r>
        <w:t xml:space="preserve">. Победители будут награждены почетными грамотами и памятными подарками.</w:t>
      </w:r>
    </w:p>
    <w:p>
      <w:pPr>
        <w:pStyle w:val="BodyText"/>
      </w:pPr>
      <w:r>
        <w:t xml:space="preserve">Материалы и заявки для участия в московском конкурсе проектов «Бюджет для граждан» размещены на портале Правительства Москвы «Открытый бюджет города Москвы»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https://budget.mos.ru/open/competition</w:t>
        </w:r>
      </w:hyperlink>
      <w:r>
        <w:t xml:space="preserve">.</w:t>
      </w:r>
    </w:p>
    <w:p>
      <w:pPr>
        <w:pStyle w:val="BodyText"/>
      </w:pPr>
      <w:r>
        <w:t xml:space="preserve">Проекты победителей в соответствии с конкурсной документацией примут участие во всероссийском конкурсе проектов по представлению бюджета для граждан, который будет проходить в Финансовом университете при Правительстве Российской Федерации.</w:t>
      </w:r>
    </w:p>
    <w:p>
      <w:pPr>
        <w:pStyle w:val="BodyText"/>
      </w:pPr>
      <w:r>
        <w:t xml:space="preserve">Заявки на участие в конкурсе с приложением проектов в электронном формате необходимо направить на электронную почту: mybudget@finance.mos.ru.</w:t>
      </w:r>
    </w:p>
    <w:p>
      <w:pPr>
        <w:pStyle w:val="BodyText"/>
      </w:pPr>
      <w:r>
        <w:t xml:space="preserve">Заявка юридического лица на участие в конкурсе должна быть подписана руководителем организации и заверена печатью.</w:t>
      </w:r>
    </w:p>
    <w:p>
      <w:pPr>
        <w:pStyle w:val="BodyText"/>
      </w:pPr>
      <w:r>
        <w:t xml:space="preserve">По всем вопросам, связанным с участием в конкурсе, просьба обращаться по телефонам:</w:t>
      </w:r>
      <w:r>
        <w:br/>
      </w:r>
      <w:r>
        <w:t xml:space="preserve">8 (499) 432-95-68, 8 (495) 620–20–00 доб. 64–043, 64-326 в рабочие дни с 9 до 17 часов.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http://solntsevo.mos.ru/ads-new/detail/10739374.html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10739374.html" TargetMode="External" /><Relationship Type="http://schemas.openxmlformats.org/officeDocument/2006/relationships/hyperlink" Id="rId20" Target="https://budget.mos.ru/open/competi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10739374.html" TargetMode="External" /><Relationship Type="http://schemas.openxmlformats.org/officeDocument/2006/relationships/hyperlink" Id="rId20" Target="https://budget.mos.ru/open/competi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2025-06-22T00:16:22Z</dcterms:created>
  <dcterms:modified xsi:type="dcterms:W3CDTF">2025-06-22T00:16:22Z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