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9fd1c447daf440b534a26c7af064d2f13d75a3"/>
    <w:p>
      <w:pPr>
        <w:pStyle w:val="Heading3"/>
      </w:pPr>
      <w:r>
        <w:t xml:space="preserve">Кодекс этики и служебного поведения государственных гражданских служащих управы района Солнцево города Москвы</w:t>
      </w:r>
    </w:p>
    <w:p>
      <w:pPr>
        <w:pStyle w:val="FirstParagraph"/>
      </w:pPr>
      <w:r>
        <w:t xml:space="preserve">22.04.2011</w:t>
      </w:r>
    </w:p>
    <w:p>
      <w:pPr>
        <w:pStyle w:val="BodyText"/>
      </w:pPr>
      <w:hyperlink r:id="rId20">
        <w:r>
          <w:rPr>
            <w:rStyle w:val="Hyperlink"/>
          </w:rPr>
          <w:t xml:space="preserve">Кодекс этики и служебного поведения государственных гражданских служащих управы района Солнцево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http://solntsevo.mos.ru/anti-corruption/methodical-materials/detail/1119541.html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rrup/metod/kodex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methodical-materials/detail/1119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rrup/metod/kodex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methodical-materials/detail/1119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2025-05-23T20:56:02Z</dcterms:created>
  <dcterms:modified xsi:type="dcterms:W3CDTF">2025-05-23T20:56:02Z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