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b21c1500d120b34ff783ea3d2585a75ac0e3a3"/>
    <w:p>
      <w:pPr>
        <w:pStyle w:val="Heading3"/>
      </w:pPr>
      <w:r>
        <w:t xml:space="preserve">Банк России о повышении киберграмотности населения и противодействие финансовому мошенничеству</w:t>
      </w:r>
    </w:p>
    <w:p>
      <w:pPr>
        <w:pStyle w:val="FirstParagraph"/>
      </w:pPr>
      <w:r>
        <w:t xml:space="preserve">13.07.2022</w:t>
      </w:r>
    </w:p>
    <w:bookmarkEnd w:id="20"/>
    <w:bookmarkStart w:id="26" w:name="section"/>
    <w:p>
      <w:pPr>
        <w:pStyle w:val="Heading1"/>
      </w:pPr>
      <w:r>
        <w:br/>
      </w:r>
    </w:p>
    <w:bookmarkStart w:id="21" w:name="bx_incl_area_14"/>
    <w:bookmarkEnd w:id="21"/>
    <w:bookmarkStart w:id="23" w:name="bx_incl_area_15"/>
    <w:bookmarkStart w:id="22" w:name="bx_incl_area_15_1"/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http://solntsevo.mos.ru/information-for-citizens/detail/10932401.html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10932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10932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2024-09-13T09:27:32Z</dcterms:created>
  <dcterms:modified xsi:type="dcterms:W3CDTF">2024-09-13T09:27:32Z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