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14581c86ddceaad2743c71c73894a2e05be76"/>
    <w:p>
      <w:pPr>
        <w:pStyle w:val="Heading3"/>
      </w:pPr>
      <w:r>
        <w:t xml:space="preserve">Обход главы управы района Солнцево пройдет 5 мая</w:t>
      </w:r>
    </w:p>
    <w:p>
      <w:pPr>
        <w:pStyle w:val="FirstParagraph"/>
      </w:pPr>
      <w:r>
        <w:t xml:space="preserve">04.05.2025</w:t>
      </w:r>
    </w:p>
    <w:p>
      <w:pPr>
        <w:pStyle w:val="BodyText"/>
      </w:pPr>
      <w:r>
        <w:t xml:space="preserve">В понедельник, 5 мая, в 10:00 состоится обход территории района первым заместителем главы управы Солнцево по вопросам ЖКХиБ, строительства Александром Александровичем Ивановским, руководством ГБУ «Жилищник района Солнцево» по представленному маршруту.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обхода в 10:00 по адресу: Ул. Родниковая д.30 корпус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обходе участники проверят состояние территории и обсудят другие волнующие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http://solntsevo.mos.ru/information-for-citizens/detail/12947585.html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47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947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2025-06-13T07:57:41Z</dcterms:created>
  <dcterms:modified xsi:type="dcterms:W3CDTF">2025-06-13T07:57:41Z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