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cbba7b1e1d9676d7d304366a1e05e82fc1218"/>
    <w:p>
      <w:pPr>
        <w:pStyle w:val="Heading3"/>
      </w:pPr>
      <w:r>
        <w:t xml:space="preserve">Организация одностороннего движения по адресу: Солнцевский пр-т д.д. 24, 26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t xml:space="preserve">С 28.01.2020 в соответствии с решением Комиссии по безопасности дорожного движения в Западном административном округе города Москвы</w:t>
      </w:r>
      <w:r>
        <w:br/>
      </w:r>
      <w:r>
        <w:t xml:space="preserve">от 28.05.2018 изменится организация дорожного движения на проезде между Солнцевским проспектом и ул.Главмосстроя, в районе сквера Молодежный. На указанном участке будет введено одностороннее движение автотранспорта с направлением движения от ул. Главмосстроя в сторону Солнцевского проспекта.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http://solntsevo.mos.ru/information-for-citizens/detail/8742089.html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742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742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2025-06-07T13:41:48Z</dcterms:created>
  <dcterms:modified xsi:type="dcterms:W3CDTF">2025-06-07T13:41:48Z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