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0f3ca6cb7cbb39097525bd533e05d3aab1a8f"/>
    <w:p>
      <w:pPr>
        <w:pStyle w:val="Heading3"/>
      </w:pPr>
      <w:r>
        <w:t xml:space="preserve">Как нестраховые периоды засчитываются в страховой стаж?</w:t>
      </w:r>
    </w:p>
    <w:p>
      <w:pPr>
        <w:pStyle w:val="FirstParagraph"/>
      </w:pPr>
      <w:r>
        <w:t xml:space="preserve">13.08.2024</w:t>
      </w:r>
    </w:p>
    <w:p>
      <w:pPr>
        <w:pStyle w:val="BodyText"/>
      </w:pPr>
      <w:r>
        <w:t xml:space="preserve">Некоторые виды социально значимой деятельности продолжают формировать пенсионные права на страховую пенсию, даже если гражданин не работает и за него работодатели не отчисляют взносы на обязательное пенсионное страхование.</w:t>
      </w:r>
    </w:p>
    <w:p>
      <w:pPr>
        <w:pStyle w:val="BodyText"/>
      </w:pPr>
      <w:r>
        <w:t xml:space="preserve">Они называются нестраховыми периодами. К ним относятся, например, служба в армии по призыву, уход за ребенком до полутора лет, а также за пенсионером старше 80 лет, ребенком-инвалидом и инвалидом 1 группы.</w:t>
      </w:r>
    </w:p>
    <w:p>
      <w:pPr>
        <w:pStyle w:val="BodyText"/>
      </w:pPr>
      <w:r>
        <w:rPr>
          <w:bCs/>
          <w:b/>
        </w:rPr>
        <w:t xml:space="preserve">Важно знать:</w:t>
      </w:r>
      <w:r>
        <w:br/>
      </w:r>
      <w:r>
        <w:t xml:space="preserve">Такие периоды учитываются, если до или после них было официальное трудоустройство.</w:t>
      </w:r>
      <w:r>
        <w:br/>
      </w:r>
      <w:r>
        <w:br/>
      </w:r>
      <w:r>
        <w:t xml:space="preserve">При совпадении по времени нескольких периодов, включаемых в стаж, будет учитываться наиболее выгодный.</w:t>
      </w:r>
    </w:p>
    <w:p>
      <w:pPr>
        <w:pStyle w:val="BodyText"/>
      </w:pPr>
      <w:r>
        <w:t xml:space="preserve">Кроме того, служба в армии по призыву и участие в СВО в период военной службы засчитываются мужчинам в стаж при определении права на досрочную пенсию за длительный стаж (от 42 лет).</w:t>
      </w:r>
    </w:p>
    <w:p>
      <w:pPr>
        <w:pStyle w:val="BodyText"/>
      </w:pPr>
      <w:r>
        <w:t xml:space="preserve">Полный перечень нестраховых периодов и соответствующие им пенсионные коэффициенты – на сайте СФР (https://sfr.gov.ru/grazhdanam/workers/ka).</w:t>
      </w:r>
      <w:r>
        <w:br/>
      </w:r>
      <w:r>
        <w:br/>
      </w:r>
    </w:p>
    <w:p>
      <w:pPr>
        <w:pStyle w:val="BodyText"/>
      </w:pPr>
      <w:r>
        <w:t xml:space="preserve">Страховые и нестраховые периоды отображаются в выписке из индивидуального лицевого счета.</w:t>
      </w:r>
    </w:p>
    <w:p>
      <w:pPr>
        <w:pStyle w:val="BodyText"/>
      </w:pPr>
      <w:r>
        <w:t xml:space="preserve">Заказать документ можно в клиентской службе Отделения Социального фонда России по Москве и Московской области или на портале госуслуг</w:t>
      </w:r>
    </w:p>
    <w:p>
      <w:pPr>
        <w:pStyle w:val="BodyText"/>
      </w:pPr>
      <w:r>
        <w:t xml:space="preserve">Подписывайтесь на Социальный фонд России по Москве и МО на официальных страницах в социальных сетях: VK, OK, Telegram, чтобы знать больше о формировании будущей пенсии.</w:t>
      </w:r>
    </w:p>
    <w:p>
      <w:pPr>
        <w:pStyle w:val="BodyText"/>
      </w:pPr>
      <w:r>
        <w:t xml:space="preserve">Если у вас остались вопросы, вы всегда можете обратиться к специалистам регионального Отделения СФР,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http://solntsevo.mos.ru/presscenter/news-on-main/detail/12517181.html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17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-on-main/detail/12517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2025-02-13T10:32:25Z</dcterms:created>
  <dcterms:modified xsi:type="dcterms:W3CDTF">2025-02-13T10:32:25Z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