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69f6e3690d09efd02eb12563b2667997d47bf"/>
    <w:p>
      <w:pPr>
        <w:pStyle w:val="Heading3"/>
      </w:pPr>
      <w:r>
        <w:t xml:space="preserve">Консультативно-правовой центр по вопросам призыва граждан на военную и альтернативную гражданскую службу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В Московской городской военной прокуратуре на период осенней призывной кампании 2014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  <w:r>
        <w:br/>
      </w:r>
      <w:r>
        <w:t xml:space="preserve">- разъяснение положений действующего законодательства в области воинской обязанности и военной службы призывникам и членам их семей;</w:t>
      </w:r>
      <w:r>
        <w:br/>
      </w: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впредь;</w:t>
      </w:r>
      <w:r>
        <w:br/>
      </w:r>
      <w:r>
        <w:t xml:space="preserve">- 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осуществляется круглосуточно по адресу: г. Москва, Хорошевское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http://solntsevo.mos.ru/presscenter/news/detail/1342064.html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4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4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2025-07-01T11:18:45Z</dcterms:created>
  <dcterms:modified xsi:type="dcterms:W3CDTF">2025-07-01T11:18:45Z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