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c31dc81a3daad1731eea28a212fa5c02c5bb9"/>
    <w:p>
      <w:pPr>
        <w:pStyle w:val="Heading3"/>
      </w:pPr>
      <w:r>
        <w:t xml:space="preserve">Общественная палата поддержала московскую программу капремонта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Члены комиссии по городскому хозяйству и жилищной политике сошлись во мнении, что установленная сумма взноса на капремонт московских домов - наиболее оптимальная.</w:t>
      </w:r>
    </w:p>
    <w:p>
      <w:pPr>
        <w:pStyle w:val="BodyText"/>
      </w:pPr>
      <w:r>
        <w:t xml:space="preserve">Адекватность установленной суммы подтверждает и ряд экспертов. Так, на сегодняшнем заседании рабочей группы о создании региональной системы капремонта в Москве в Общественной палате директор Национального центра общественного контроля в сфере жилищно-коммунального хозяйства «ЖКХ Контроль» Светлана Разворотнева заявила, что лучше честно рассказать людям о том, что сколько стоит и выполнить все обязательства, чем взять с жителей Москвы меньше денег, а в результате люди получат некачественную работу. Ее поддержал в этом вопросе и заместитель генерального директора ГК "Фонд реформирования ЖКХ" Олег Рурин, отмечающий, что позиция Правительства Москвы в сфере капитального ремонта глубоко продуманная, а расширенный перечь работ обеспечит содержание всех ключевых конструктивных элементов дома в надлежащем состоянии.</w:t>
      </w:r>
    </w:p>
    <w:p>
      <w:pPr>
        <w:pStyle w:val="BodyText"/>
      </w:pPr>
      <w:r>
        <w:t xml:space="preserve">Напомним, что установленная цена за капремонт в Москве составляет 15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http://solntsevo.mos.ru/presscenter/news/detail/1910056.html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910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910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2025-07-21T08:18:28Z</dcterms:created>
  <dcterms:modified xsi:type="dcterms:W3CDTF">2025-07-21T08:18:28Z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