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361f7c532711c3c62c4c3b42bfbbafbb8dfd8a6"/>
    <w:p>
      <w:pPr>
        <w:pStyle w:val="Heading3"/>
      </w:pPr>
      <w:r>
        <w:t xml:space="preserve">Занятия в Группах кратковременного пребывания «Окружающий мир»</w:t>
      </w:r>
    </w:p>
    <w:p>
      <w:pPr>
        <w:pStyle w:val="FirstParagraph"/>
      </w:pPr>
      <w:r>
        <w:t xml:space="preserve">24.03.2014</w:t>
      </w:r>
    </w:p>
    <w:p>
      <w:pPr>
        <w:pStyle w:val="BodyText"/>
      </w:pPr>
      <w:r>
        <w:t xml:space="preserve">В ГБУ ЦСПС и Д «Журавушка» на занятиях по «Окружающему миру» перед педагогом стоит задача помочь ребенку раскрыть себя, увидеть во всем окружающем неповторимое чудо, научить его чуткому и бережному отношению к тому, что его окружает, воспитать любовь к природе, близким людям.</w:t>
      </w:r>
    </w:p>
    <w:p>
      <w:pPr>
        <w:pStyle w:val="BodyText"/>
      </w:pPr>
      <w:r>
        <w:t xml:space="preserve">Благодаря расширяющемуся словарному запасу и прекрасной памяти дети на занятиях «Окружающий мир» запоминают огромное количество названий видов транспорта, предметов, которые облегчают быт человека.</w:t>
      </w:r>
    </w:p>
    <w:p>
      <w:pPr>
        <w:pStyle w:val="BodyText"/>
      </w:pPr>
      <w:r>
        <w:t xml:space="preserve">Дети учатся обобщать предметы, приобретая умение определять цвет, форму, они должны понимать, что любая вещь - результат труда множества людей и профессий.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lntsevo.mos.ru/www/images/2014/0323/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olntsevo.mos.ru/www/images/2014/0323/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http://solntsevo.mos.ru/presscenter/news/detail/984512.html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solntsevo.mos.ru" TargetMode="External" /><Relationship Type="http://schemas.openxmlformats.org/officeDocument/2006/relationships/hyperlink" Id="rId26" Target="http://solntsevo.mos.ru/presscenter/news/detail/9845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olntsevo.mos.ru" TargetMode="External" /><Relationship Type="http://schemas.openxmlformats.org/officeDocument/2006/relationships/hyperlink" Id="rId26" Target="http://solntsevo.mos.ru/presscenter/news/detail/9845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2024-12-14T18:05:00Z</dcterms:created>
  <dcterms:modified xsi:type="dcterms:W3CDTF">2024-12-14T18:05:00Z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